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tatuaże są bezpieczne? Rak, tusze i REACH – badania 2026</w:t>
      </w:r>
    </w:p>
    <w:p>
      <w:pPr>
        <w:spacing w:before="0" w:after="500" w:line="264" w:lineRule="auto"/>
      </w:pPr>
      <w:r>
        <w:rPr>
          <w:rFonts w:ascii="calibri" w:hAnsi="calibri" w:eastAsia="calibri" w:cs="calibri"/>
          <w:sz w:val="36"/>
          <w:szCs w:val="36"/>
          <w:b/>
        </w:rPr>
        <w:t xml:space="preserve">W ostatnich latach pojawia się coraz więcej publikacji dotyczących potencjalnego wpływu tatuaży i tuszów do tatuażu na zdrowie. Część trafia później do mediów pod nagłówkami sugerującymi, że tatuaże mogą zwiększać ryzyko nowotworów.</w:t>
      </w:r>
    </w:p>
    <w:p>
      <w:r>
        <w:rPr>
          <w:rFonts w:ascii="calibri" w:hAnsi="calibri" w:eastAsia="calibri" w:cs="calibri"/>
          <w:sz w:val="36"/>
          <w:szCs w:val="36"/>
          <w:b/>
        </w:rPr>
        <w:t xml:space="preserve"> </w:t>
      </w:r>
    </w:p>
    <w:p>
      <w:r>
        <w:rPr>
          <w:rFonts w:ascii="calibri" w:hAnsi="calibri" w:eastAsia="calibri" w:cs="calibri"/>
          <w:sz w:val="36"/>
          <w:szCs w:val="36"/>
          <w:b/>
        </w:rPr>
        <w:t xml:space="preserve"> To temat, którego nie warto ani bagatelizować, ani niepotrzebnie upraszczać.</w:t>
      </w:r>
    </w:p>
    <w:p>
      <w:r>
        <w:rPr>
          <w:rFonts w:ascii="calibri" w:hAnsi="calibri" w:eastAsia="calibri" w:cs="calibri"/>
          <w:sz w:val="36"/>
          <w:szCs w:val="36"/>
          <w:b/>
        </w:rPr>
        <w:t xml:space="preserve"> </w:t>
      </w:r>
    </w:p>
    <w:p>
      <w:r>
        <w:rPr>
          <w:rFonts w:ascii="calibri" w:hAnsi="calibri" w:eastAsia="calibri" w:cs="calibri"/>
          <w:sz w:val="36"/>
          <w:szCs w:val="36"/>
          <w:b/>
        </w:rPr>
        <w:t xml:space="preserve"> Badania nad długoterminowym wpływem tatuaży rzeczywiście trwają. Wiemy też, że pigment nie pozostaje wyłącznie w skórze. Jednocześnie, według aktualnego stanu wiedzy z września 2026 roku, nie udowodniono, że posiadanie tatuażu powoduje raka.</w:t>
      </w:r>
    </w:p>
    <w:p>
      <w:r>
        <w:rPr>
          <w:rFonts w:ascii="calibri" w:hAnsi="calibri" w:eastAsia="calibri" w:cs="calibri"/>
          <w:sz w:val="36"/>
          <w:szCs w:val="36"/>
          <w:b/>
        </w:rPr>
        <w:t xml:space="preserve"> </w:t>
      </w:r>
    </w:p>
    <w:p>
      <w:r>
        <w:rPr>
          <w:rFonts w:ascii="calibri" w:hAnsi="calibri" w:eastAsia="calibri" w:cs="calibri"/>
          <w:sz w:val="36"/>
          <w:szCs w:val="36"/>
          <w:b/>
        </w:rPr>
        <w:t xml:space="preserve"> Co właściwie pokazują badania? Czym różni się korelacja od udowodnionego ryzyka? I dlaczego w Europie, mówiąc o bezpieczeństwie tuszów, trzeba uwzględnić przepisy REACH?</w:t>
      </w:r>
    </w:p>
    <w:p>
      <w:r>
        <w:rPr>
          <w:rFonts w:ascii="calibri" w:hAnsi="calibri" w:eastAsia="calibri" w:cs="calibri"/>
          <w:sz w:val="36"/>
          <w:szCs w:val="36"/>
          <w:b/>
        </w:rPr>
        <w:t xml:space="preserve"> </w:t>
      </w:r>
    </w:p>
    <w:p>
      <w:r>
        <w:rPr>
          <w:rFonts w:ascii="calibri" w:hAnsi="calibri" w:eastAsia="calibri" w:cs="calibri"/>
          <w:sz w:val="36"/>
          <w:szCs w:val="36"/>
          <w:b/>
        </w:rPr>
        <w:t xml:space="preserve"> Sprawdzamy.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tatuaże zwiększają ryzyko raka?</w:t>
      </w:r>
    </w:p>
    <w:p>
      <w:pPr>
        <w:spacing w:before="0" w:after="300"/>
      </w:pPr>
      <w:r>
        <w:rPr>
          <w:rFonts w:ascii="calibri" w:hAnsi="calibri" w:eastAsia="calibri" w:cs="calibri"/>
          <w:sz w:val="24"/>
          <w:szCs w:val="24"/>
        </w:rPr>
        <w:t xml:space="preserve">Najkrótsza odpowiedź brzmi:</w:t>
      </w:r>
    </w:p>
    <w:p>
      <w:pPr>
        <w:spacing w:before="0" w:after="300"/>
      </w:pPr>
      <w:r>
        <w:rPr>
          <w:rFonts w:ascii="calibri" w:hAnsi="calibri" w:eastAsia="calibri" w:cs="calibri"/>
          <w:sz w:val="24"/>
          <w:szCs w:val="24"/>
          <w:b/>
        </w:rPr>
        <w:t xml:space="preserve">Na dziś nie ma wystarczających dowodów, aby stwierdzić, że tatuaże powodują nowotwory.</w:t>
      </w:r>
    </w:p>
    <w:p>
      <w:pPr>
        <w:spacing w:before="0" w:after="300"/>
      </w:pPr>
      <w:r>
        <w:rPr>
          <w:rFonts w:ascii="calibri" w:hAnsi="calibri" w:eastAsia="calibri" w:cs="calibri"/>
          <w:sz w:val="24"/>
          <w:szCs w:val="24"/>
        </w:rPr>
        <w:t xml:space="preserve">Istnieją jednak badania, w których zaobserwowano związki statystyczne pomiędzy posiadaniem tatuaży a niektórymi nowotworami. Dlatego temat jest nadal badany.</w:t>
      </w:r>
    </w:p>
    <w:p>
      <w:pPr>
        <w:spacing w:before="0" w:after="300"/>
      </w:pPr>
      <w:r>
        <w:rPr>
          <w:rFonts w:ascii="calibri" w:hAnsi="calibri" w:eastAsia="calibri" w:cs="calibri"/>
          <w:sz w:val="24"/>
          <w:szCs w:val="24"/>
        </w:rPr>
        <w:t xml:space="preserve">Najważniejsze jest rozróżnienie dwóch pojęć: </w:t>
      </w:r>
      <w:r>
        <w:rPr>
          <w:rFonts w:ascii="calibri" w:hAnsi="calibri" w:eastAsia="calibri" w:cs="calibri"/>
          <w:sz w:val="24"/>
          <w:szCs w:val="24"/>
          <w:b/>
        </w:rPr>
        <w:t xml:space="preserve">korelacja nie oznacza związku przyczynowo-skutkowego.</w:t>
      </w:r>
    </w:p>
    <w:p>
      <w:pPr>
        <w:spacing w:before="0" w:after="300"/>
      </w:pPr>
      <w:r>
        <w:rPr>
          <w:rFonts w:ascii="calibri" w:hAnsi="calibri" w:eastAsia="calibri" w:cs="calibri"/>
          <w:sz w:val="24"/>
          <w:szCs w:val="24"/>
        </w:rPr>
        <w:t xml:space="preserve">Jeżeli w grupie osób tatuowanych częściej występuje określona choroba, nie oznacza to jeszcze, że to tatuaż ją spowodował. Na wynik mogą wpływać m.in. wiek, ekspozycja na promieniowanie UV, korzystanie z solarium, palenie, styl życia, różnice między badanymi populacjami czy sposób zbierania danych.</w:t>
      </w:r>
    </w:p>
    <w:p>
      <w:pPr>
        <w:spacing w:before="0" w:after="300"/>
      </w:pPr>
      <w:r>
        <w:rPr>
          <w:rFonts w:ascii="calibri" w:hAnsi="calibri" w:eastAsia="calibri" w:cs="calibri"/>
          <w:sz w:val="24"/>
          <w:szCs w:val="24"/>
        </w:rPr>
        <w:t xml:space="preserve">I właśnie dlatego warto patrzeć nie na pojedynczą efektowną liczbę, ale na całość dostępnych badań.</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Badanie ze Szwecji: skąd wzięło się „21% wyższe ryzyko chłoniaka”?</w:t>
      </w:r>
    </w:p>
    <w:p>
      <w:pPr>
        <w:spacing w:before="0" w:after="300"/>
      </w:pPr>
      <w:r>
        <w:rPr>
          <w:rFonts w:ascii="calibri" w:hAnsi="calibri" w:eastAsia="calibri" w:cs="calibri"/>
          <w:sz w:val="24"/>
          <w:szCs w:val="24"/>
        </w:rPr>
        <w:t xml:space="preserve">Jednym z najczęściej cytowanych badań jest szwedzka publikacja z 2024 roku dotycząca chłoniaków.</w:t>
      </w:r>
    </w:p>
    <w:p>
      <w:pPr>
        <w:spacing w:before="0" w:after="300"/>
      </w:pPr>
      <w:r>
        <w:rPr>
          <w:rFonts w:ascii="calibri" w:hAnsi="calibri" w:eastAsia="calibri" w:cs="calibri"/>
          <w:sz w:val="24"/>
          <w:szCs w:val="24"/>
        </w:rPr>
        <w:t xml:space="preserve">Badacze porównali osoby z rozpoznanym chłoniakiem z grupą kontrolną. Po uwzględnieniu części innych czynników osoby posiadające tatuaże miały o około 21% wyższe względne ryzyko chłoniaka. </w:t>
      </w:r>
      <w:r>
        <w:rPr>
          <w:rFonts w:ascii="calibri" w:hAnsi="calibri" w:eastAsia="calibri" w:cs="calibri"/>
          <w:sz w:val="24"/>
          <w:szCs w:val="24"/>
        </w:rPr>
        <w:t xml:space="preserve">Warto jednak spojrzeć na pełny wynik: </w:t>
      </w:r>
      <w:r>
        <w:rPr>
          <w:rFonts w:ascii="calibri" w:hAnsi="calibri" w:eastAsia="calibri" w:cs="calibri"/>
          <w:sz w:val="24"/>
          <w:szCs w:val="24"/>
        </w:rPr>
        <w:t xml:space="preserve">IRR wynosił 1,21, a 95-procentowy przedział ufności 0,99-1,48. </w:t>
      </w:r>
      <w:r>
        <w:rPr>
          <w:rFonts w:ascii="calibri" w:hAnsi="calibri" w:eastAsia="calibri" w:cs="calibri"/>
          <w:sz w:val="24"/>
          <w:szCs w:val="24"/>
        </w:rPr>
        <w:t xml:space="preserve">Oznacza to, że wynik znajdował się na granicy istotności statystycznej.</w:t>
      </w:r>
    </w:p>
    <w:p>
      <w:pPr>
        <w:spacing w:before="0" w:after="300"/>
      </w:pPr>
      <w:r>
        <w:rPr>
          <w:rFonts w:ascii="calibri" w:hAnsi="calibri" w:eastAsia="calibri" w:cs="calibri"/>
          <w:sz w:val="24"/>
          <w:szCs w:val="24"/>
        </w:rPr>
        <w:t xml:space="preserve">Co równie ważne, badacze </w:t>
      </w:r>
      <w:r>
        <w:rPr>
          <w:rFonts w:ascii="calibri" w:hAnsi="calibri" w:eastAsia="calibri" w:cs="calibri"/>
          <w:sz w:val="24"/>
          <w:szCs w:val="24"/>
          <w:b/>
        </w:rPr>
        <w:t xml:space="preserve">nie zaobserwowali wzrostu ryzyka wraz ze zwiększaniem powierzchni tatuaży</w:t>
      </w:r>
      <w:r>
        <w:rPr>
          <w:rFonts w:ascii="calibri" w:hAnsi="calibri" w:eastAsia="calibri" w:cs="calibri"/>
          <w:sz w:val="24"/>
          <w:szCs w:val="24"/>
        </w:rPr>
        <w:t xml:space="preserve">. Gdyby ilość pigmentu była prostym czynnikiem powodującym chłoniaka, można byłoby oczekiwać wyraźnej zależności dawka-efekt. W tym badaniu jej nie wykazano.</w:t>
      </w:r>
    </w:p>
    <w:p>
      <w:pPr>
        <w:spacing w:before="0" w:after="300"/>
      </w:pPr>
      <w:r>
        <w:rPr>
          <w:rFonts w:ascii="calibri" w:hAnsi="calibri" w:eastAsia="calibri" w:cs="calibri"/>
          <w:sz w:val="24"/>
          <w:szCs w:val="24"/>
        </w:rPr>
        <w:t xml:space="preserve">Sami autorzy podkreślili, że potrzebne są kolejne badania, aby można było mówić o przyczynowości.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Duńskie badanie bliźniąt z 2025 roku</w:t>
      </w:r>
    </w:p>
    <w:p>
      <w:pPr>
        <w:spacing w:before="0" w:after="300"/>
      </w:pPr>
      <w:r>
        <w:rPr>
          <w:rFonts w:ascii="calibri" w:hAnsi="calibri" w:eastAsia="calibri" w:cs="calibri"/>
          <w:sz w:val="24"/>
          <w:szCs w:val="24"/>
        </w:rPr>
        <w:t xml:space="preserve">Dużo uwagi przyciągnęło również badanie Danish Twin Tattoo Cohort.</w:t>
      </w:r>
    </w:p>
    <w:p>
      <w:pPr>
        <w:spacing w:before="0" w:after="300"/>
      </w:pPr>
      <w:r>
        <w:rPr>
          <w:rFonts w:ascii="calibri" w:hAnsi="calibri" w:eastAsia="calibri" w:cs="calibri"/>
          <w:sz w:val="24"/>
          <w:szCs w:val="24"/>
        </w:rPr>
        <w:t xml:space="preserve">W jednej z analiz osoby tatuowane miały wyższe ryzyko raka skóry. Szczególnie wysokie wartości pojawiały się w grupie osób posiadających tatuaże większe niż powierzchnia dłoni. </w:t>
      </w:r>
      <w:r>
        <w:rPr>
          <w:rFonts w:ascii="calibri" w:hAnsi="calibri" w:eastAsia="calibri" w:cs="calibri"/>
          <w:sz w:val="24"/>
          <w:szCs w:val="24"/>
        </w:rPr>
        <w:t xml:space="preserve">Tyle że badanie zawiera kilka różnych analiz. </w:t>
      </w:r>
      <w:r>
        <w:rPr>
          <w:rFonts w:ascii="calibri" w:hAnsi="calibri" w:eastAsia="calibri" w:cs="calibri"/>
          <w:sz w:val="24"/>
          <w:szCs w:val="24"/>
        </w:rPr>
        <w:t xml:space="preserve">W analizie indywidualnej dla raka skóry HR wynosił 1,62. </w:t>
      </w:r>
      <w:r>
        <w:rPr>
          <w:rFonts w:ascii="calibri" w:hAnsi="calibri" w:eastAsia="calibri" w:cs="calibri"/>
          <w:sz w:val="24"/>
          <w:szCs w:val="24"/>
        </w:rPr>
        <w:t xml:space="preserve">Kiedy jednak porównano bliźnięta między sobą, co pozwala częściowo ograniczyć wpływ genetyki i wspólnego środowiska, HR wyniósł 1,33 z bardzo szerokim przedziałem ufności 0,46-3,84. </w:t>
      </w:r>
      <w:r>
        <w:rPr>
          <w:rFonts w:ascii="calibri" w:hAnsi="calibri" w:eastAsia="calibri" w:cs="calibri"/>
          <w:sz w:val="24"/>
          <w:szCs w:val="24"/>
        </w:rPr>
        <w:t xml:space="preserve">W tej części badania analizowano jedynie 14 odpowiednich par bliźniąt.</w:t>
      </w:r>
    </w:p>
    <w:p>
      <w:pPr>
        <w:spacing w:before="0" w:after="300"/>
      </w:pPr>
      <w:r>
        <w:rPr>
          <w:rFonts w:ascii="calibri" w:hAnsi="calibri" w:eastAsia="calibri" w:cs="calibri"/>
          <w:sz w:val="24"/>
          <w:szCs w:val="24"/>
        </w:rPr>
        <w:t xml:space="preserve">To nie oznacza, że wynik należy zignorować. Oznacza natomiast, że </w:t>
      </w:r>
      <w:r>
        <w:rPr>
          <w:rFonts w:ascii="calibri" w:hAnsi="calibri" w:eastAsia="calibri" w:cs="calibri"/>
          <w:sz w:val="24"/>
          <w:szCs w:val="24"/>
          <w:b/>
        </w:rPr>
        <w:t xml:space="preserve">nie możemy na jego podstawie powiedzieć, że duży tatuaż powoduje raka skóry</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A potem pojawiły się wyniki pokazujące coś zupełnie innego</w:t>
      </w:r>
    </w:p>
    <w:p>
      <w:pPr>
        <w:spacing w:before="0" w:after="300"/>
      </w:pPr>
      <w:r>
        <w:rPr>
          <w:rFonts w:ascii="calibri" w:hAnsi="calibri" w:eastAsia="calibri" w:cs="calibri"/>
          <w:sz w:val="24"/>
          <w:szCs w:val="24"/>
        </w:rPr>
        <w:t xml:space="preserve">Badanie opublikowane w 2025 roku w „Journal of the National Cancer Institute” objęło 1167 osób z czerniakiem i 5835 osób w grupie kontrolnej. </w:t>
      </w:r>
      <w:r>
        <w:rPr>
          <w:rFonts w:ascii="calibri" w:hAnsi="calibri" w:eastAsia="calibri" w:cs="calibri"/>
          <w:sz w:val="24"/>
          <w:szCs w:val="24"/>
        </w:rPr>
        <w:t xml:space="preserve">Samo posiadanie tatuażu nie było silnie związane ze zwiększonym ryzykiem czerniaka. </w:t>
      </w:r>
      <w:r>
        <w:rPr>
          <w:rFonts w:ascii="calibri" w:hAnsi="calibri" w:eastAsia="calibri" w:cs="calibri"/>
          <w:sz w:val="24"/>
          <w:szCs w:val="24"/>
        </w:rPr>
        <w:t xml:space="preserve">Co więcej, osoby z większą liczbą sesji i kilkoma dużymi tatuażami miały w tej analizie niższe ryzyko czerniaka niż osoby bez tatuaży. </w:t>
      </w:r>
      <w:r>
        <w:rPr>
          <w:rFonts w:ascii="calibri" w:hAnsi="calibri" w:eastAsia="calibri" w:cs="calibri"/>
          <w:sz w:val="24"/>
          <w:szCs w:val="24"/>
        </w:rPr>
        <w:t xml:space="preserve">Czy oznacza to, że tatuaże chronią przed czerniakiem?</w:t>
      </w:r>
    </w:p>
    <w:p>
      <w:pPr>
        <w:spacing w:before="0" w:after="300"/>
      </w:pPr>
      <w:r>
        <w:rPr>
          <w:rFonts w:ascii="calibri" w:hAnsi="calibri" w:eastAsia="calibri" w:cs="calibri"/>
          <w:sz w:val="24"/>
          <w:szCs w:val="24"/>
          <w:b/>
        </w:rPr>
        <w:t xml:space="preserve">Nie.</w:t>
      </w:r>
    </w:p>
    <w:p>
      <w:pPr>
        <w:spacing w:before="0" w:after="300"/>
      </w:pPr>
      <w:r>
        <w:rPr>
          <w:rFonts w:ascii="calibri" w:hAnsi="calibri" w:eastAsia="calibri" w:cs="calibri"/>
          <w:sz w:val="24"/>
          <w:szCs w:val="24"/>
        </w:rPr>
        <w:t xml:space="preserve">Autorzy wyraźnie przed tym przestrzegają. Wynik może wynikać między innymi z czynników, których badanie nie było w stanie odpowiednio kontrolować, np. zachowań związanych z ekspozycją na słońce. </w:t>
      </w:r>
      <w:r>
        <w:rPr>
          <w:rFonts w:ascii="calibri" w:hAnsi="calibri" w:eastAsia="calibri" w:cs="calibri"/>
          <w:sz w:val="24"/>
          <w:szCs w:val="24"/>
        </w:rPr>
        <w:t xml:space="preserve">Ale jest to dobry przykład pokazujący, dlaczego pojedynczego badania nie należy zamieniać w prosty nagłówek: „tatuaże zwiększają ryzyko raka”.</w:t>
      </w:r>
    </w:p>
    <w:p>
      <w:pPr>
        <w:spacing w:before="0" w:after="500" w:line="264" w:lineRule="auto"/>
      </w:pPr>
      <w:r>
        <w:rPr>
          <w:rFonts w:ascii="calibri" w:hAnsi="calibri" w:eastAsia="calibri" w:cs="calibri"/>
          <w:sz w:val="36"/>
          <w:szCs w:val="36"/>
          <w:b/>
        </w:rPr>
        <w:t xml:space="preserve">Francja, ponad 111 tysięcy osób: brak ogólnego związku z rakiem skóry</w:t>
      </w:r>
    </w:p>
    <w:p>
      <w:pPr>
        <w:spacing w:before="0" w:after="300"/>
      </w:pPr>
      <w:r>
        <w:rPr>
          <w:rFonts w:ascii="calibri" w:hAnsi="calibri" w:eastAsia="calibri" w:cs="calibri"/>
          <w:sz w:val="24"/>
          <w:szCs w:val="24"/>
        </w:rPr>
        <w:t xml:space="preserve">W 2026 roku opublikowano kolejne duże badanie, tym razem przeprowadzone we Francji.</w:t>
      </w:r>
    </w:p>
    <w:p>
      <w:pPr>
        <w:spacing w:before="0" w:after="300"/>
      </w:pPr>
      <w:r>
        <w:rPr>
          <w:rFonts w:ascii="calibri" w:hAnsi="calibri" w:eastAsia="calibri" w:cs="calibri"/>
          <w:sz w:val="24"/>
          <w:szCs w:val="24"/>
        </w:rPr>
        <w:t xml:space="preserve">Analiza obejmowała </w:t>
      </w:r>
      <w:r>
        <w:rPr>
          <w:rFonts w:ascii="calibri" w:hAnsi="calibri" w:eastAsia="calibri" w:cs="calibri"/>
          <w:sz w:val="24"/>
          <w:szCs w:val="24"/>
          <w:b/>
        </w:rPr>
        <w:t xml:space="preserve">111 074 osoby</w:t>
      </w:r>
      <w:r>
        <w:rPr>
          <w:rFonts w:ascii="calibri" w:hAnsi="calibri" w:eastAsia="calibri" w:cs="calibri"/>
          <w:sz w:val="24"/>
          <w:szCs w:val="24"/>
        </w:rPr>
        <w:t xml:space="preserve">, wśród których zidentyfikowano 1789 przypadków raka skóry, w tym 693 przypadki czerniaka.</w:t>
      </w:r>
    </w:p>
    <w:p>
      <w:pPr>
        <w:spacing w:before="0" w:after="300"/>
      </w:pPr>
      <w:r>
        <w:rPr>
          <w:rFonts w:ascii="calibri" w:hAnsi="calibri" w:eastAsia="calibri" w:cs="calibri"/>
          <w:sz w:val="24"/>
          <w:szCs w:val="24"/>
        </w:rPr>
        <w:t xml:space="preserve">Badacze nie znaleźli ogólnego związku pomiędzy posiadaniem tatuażu 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rakiem skóry ogółem,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czerniakiem,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innymi analizowanymi nowotworami skóry.</w:t>
      </w:r>
    </w:p>
    <w:p>
      <w:pPr>
        <w:spacing w:before="0" w:after="300"/>
      </w:pPr>
      <w:r>
        <w:rPr>
          <w:rFonts w:ascii="calibri" w:hAnsi="calibri" w:eastAsia="calibri" w:cs="calibri"/>
          <w:sz w:val="24"/>
          <w:szCs w:val="24"/>
        </w:rPr>
        <w:t xml:space="preserve">Autorzy zaznaczają jednocześnie, że potrzebne są dalsze, długoterminowe badania prospektywne.</w:t>
      </w:r>
    </w:p>
    <w:p>
      <w:pPr>
        <w:spacing w:before="0" w:after="500" w:line="264" w:lineRule="auto"/>
      </w:pPr>
      <w:r>
        <w:rPr>
          <w:rFonts w:ascii="calibri" w:hAnsi="calibri" w:eastAsia="calibri" w:cs="calibri"/>
          <w:sz w:val="36"/>
          <w:szCs w:val="36"/>
          <w:b/>
        </w:rPr>
        <w:t xml:space="preserve">Co mówi najnowsza metaanaliza z 2026 roku?</w:t>
      </w:r>
    </w:p>
    <w:p>
      <w:pPr>
        <w:spacing w:before="0" w:after="300"/>
      </w:pPr>
      <w:r>
        <w:rPr>
          <w:rFonts w:ascii="calibri" w:hAnsi="calibri" w:eastAsia="calibri" w:cs="calibri"/>
          <w:sz w:val="24"/>
          <w:szCs w:val="24"/>
        </w:rPr>
        <w:t xml:space="preserve">To obecnie jedna z najważniejszych publikacji pomagających uporządkować temat. </w:t>
      </w:r>
      <w:r>
        <w:rPr>
          <w:rFonts w:ascii="calibri" w:hAnsi="calibri" w:eastAsia="calibri" w:cs="calibri"/>
          <w:sz w:val="24"/>
          <w:szCs w:val="24"/>
        </w:rPr>
        <w:t xml:space="preserve">W czerwcu 2026 roku opublikowano przegląd systematyczny i metaanalizę obejmującą </w:t>
      </w:r>
      <w:r>
        <w:rPr>
          <w:rFonts w:ascii="calibri" w:hAnsi="calibri" w:eastAsia="calibri" w:cs="calibri"/>
          <w:sz w:val="24"/>
          <w:szCs w:val="24"/>
          <w:b/>
        </w:rPr>
        <w:t xml:space="preserve">7 badań i łącznie 140 841 uczestników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analizie podstawowej: </w:t>
      </w:r>
      <w:r>
        <w:rPr>
          <w:rFonts w:ascii="calibri" w:hAnsi="calibri" w:eastAsia="calibri" w:cs="calibri"/>
          <w:sz w:val="24"/>
          <w:szCs w:val="24"/>
          <w:b/>
        </w:rPr>
        <w:t xml:space="preserve">nie wykazano istotnego związku pomiędzy tatuażami a rakiem skóry</w:t>
      </w:r>
    </w:p>
    <w:p>
      <w:pPr>
        <w:spacing w:before="0" w:after="300"/>
      </w:pPr>
      <w:r>
        <w:rPr>
          <w:rFonts w:ascii="calibri" w:hAnsi="calibri" w:eastAsia="calibri" w:cs="calibri"/>
          <w:sz w:val="24"/>
          <w:szCs w:val="24"/>
        </w:rPr>
        <w:t xml:space="preserve">OR: 0,92</w:t>
      </w:r>
    </w:p>
    <w:p>
      <w:r>
        <w:rPr>
          <w:rFonts w:ascii="calibri" w:hAnsi="calibri" w:eastAsia="calibri" w:cs="calibri"/>
          <w:sz w:val="24"/>
          <w:szCs w:val="24"/>
        </w:rPr>
        <w:t xml:space="preserve">95% CI: 0,83-1,04</w:t>
      </w:r>
    </w:p>
    <w:p>
      <w:pPr>
        <w:spacing w:before="0" w:after="300"/>
      </w:pPr>
      <w:r>
        <w:rPr>
          <w:rFonts w:ascii="calibri" w:hAnsi="calibri" w:eastAsia="calibri" w:cs="calibri"/>
          <w:sz w:val="24"/>
          <w:szCs w:val="24"/>
        </w:rPr>
        <w:t xml:space="preserve">oraz: </w:t>
      </w:r>
      <w:r>
        <w:rPr>
          <w:rFonts w:ascii="calibri" w:hAnsi="calibri" w:eastAsia="calibri" w:cs="calibri"/>
          <w:sz w:val="24"/>
          <w:szCs w:val="24"/>
          <w:b/>
        </w:rPr>
        <w:t xml:space="preserve">nie wykazano istotnego związku pomiędzy tatuażami a nowotworami hematologicznymi</w:t>
      </w:r>
    </w:p>
    <w:p>
      <w:pPr>
        <w:spacing w:before="0" w:after="300"/>
      </w:pPr>
      <w:r>
        <w:rPr>
          <w:rFonts w:ascii="calibri" w:hAnsi="calibri" w:eastAsia="calibri" w:cs="calibri"/>
          <w:sz w:val="24"/>
          <w:szCs w:val="24"/>
        </w:rPr>
        <w:t xml:space="preserve">OR: 1,02</w:t>
      </w:r>
    </w:p>
    <w:p>
      <w:r>
        <w:rPr>
          <w:rFonts w:ascii="calibri" w:hAnsi="calibri" w:eastAsia="calibri" w:cs="calibri"/>
          <w:sz w:val="24"/>
          <w:szCs w:val="24"/>
        </w:rPr>
        <w:t xml:space="preserve">95% CI: 0,78-1,32.</w:t>
      </w:r>
    </w:p>
    <w:p>
      <w:pPr>
        <w:spacing w:before="0" w:after="300"/>
      </w:pPr>
      <w:r>
        <w:rPr>
          <w:rFonts w:ascii="calibri" w:hAnsi="calibri" w:eastAsia="calibri" w:cs="calibri"/>
          <w:sz w:val="24"/>
          <w:szCs w:val="24"/>
        </w:rPr>
        <w:t xml:space="preserve">Nie stwierdzono również istotnego związku dla analizowanych osobno chłoniaków Hodgkina, chłoniaków nie-Hodgkina czy chłoniaka grudkowego. </w:t>
      </w:r>
      <w:r>
        <w:rPr>
          <w:rFonts w:ascii="calibri" w:hAnsi="calibri" w:eastAsia="calibri" w:cs="calibri"/>
          <w:sz w:val="24"/>
          <w:szCs w:val="24"/>
        </w:rPr>
        <w:t xml:space="preserve">W jednej z dodatkowych analiz statystycznych po usunięciu jednego z badań pojawił się sygnał zwiększonego ryzyka nowotworów hematologicznych. Autorzy określili go jednak jako wynik wymagający ostrożnej interpretacji, który nie zmienia głównego rezultatu metaanalizy. </w:t>
      </w:r>
      <w:r>
        <w:rPr>
          <w:rFonts w:ascii="calibri" w:hAnsi="calibri" w:eastAsia="calibri" w:cs="calibri"/>
          <w:sz w:val="24"/>
          <w:szCs w:val="24"/>
        </w:rPr>
        <w:t xml:space="preserve">Co bardzo istotne, autorzy ocenili też jakość istniejących dowodów. Spośród siedmiu analizowanych badań żadne nie zostało ocenione jako badanie o niskim ryzyku błędu systematycznego.</w:t>
      </w:r>
    </w:p>
    <w:p>
      <w:pPr>
        <w:spacing w:before="0" w:after="300"/>
      </w:pPr>
      <w:r>
        <w:rPr>
          <w:rFonts w:ascii="calibri" w:hAnsi="calibri" w:eastAsia="calibri" w:cs="calibri"/>
          <w:sz w:val="24"/>
          <w:szCs w:val="24"/>
        </w:rPr>
        <w:t xml:space="preserve">Ich podsumowanie jest jasne:</w:t>
      </w:r>
    </w:p>
    <w:p>
      <w:pPr>
        <w:spacing w:before="0" w:after="300"/>
      </w:pPr>
      <w:r>
        <w:rPr>
          <w:rFonts w:ascii="calibri" w:hAnsi="calibri" w:eastAsia="calibri" w:cs="calibri"/>
          <w:sz w:val="24"/>
          <w:szCs w:val="24"/>
          <w:b/>
        </w:rPr>
        <w:t xml:space="preserve">obecne dane nie potwierdzają związku przyczynowego pomiędzy tatuowaniem a nowotworami, ale dalsze badania są potrzebne.</w:t>
      </w:r>
    </w:p>
    <w:p>
      <w:pPr>
        <w:spacing w:before="0" w:after="500" w:line="264" w:lineRule="auto"/>
      </w:pPr>
      <w:r>
        <w:rPr>
          <w:rFonts w:ascii="calibri" w:hAnsi="calibri" w:eastAsia="calibri" w:cs="calibri"/>
          <w:sz w:val="36"/>
          <w:szCs w:val="36"/>
          <w:b/>
        </w:rPr>
        <w:t xml:space="preserve">Co w takim razie wiemy na pewno o tuszu?</w:t>
      </w:r>
    </w:p>
    <w:p>
      <w:pPr>
        <w:spacing w:before="0" w:after="300"/>
      </w:pPr>
      <w:r>
        <w:rPr>
          <w:rFonts w:ascii="calibri" w:hAnsi="calibri" w:eastAsia="calibri" w:cs="calibri"/>
          <w:sz w:val="24"/>
          <w:szCs w:val="24"/>
        </w:rPr>
        <w:t xml:space="preserve">Tu dowody są znacznie mocniejsze. </w:t>
      </w:r>
      <w:r>
        <w:rPr>
          <w:rFonts w:ascii="calibri" w:hAnsi="calibri" w:eastAsia="calibri" w:cs="calibri"/>
          <w:sz w:val="24"/>
          <w:szCs w:val="24"/>
        </w:rPr>
        <w:t xml:space="preserve">Pigment wprowadzony podczas tatuowania </w:t>
      </w:r>
      <w:r>
        <w:rPr>
          <w:rFonts w:ascii="calibri" w:hAnsi="calibri" w:eastAsia="calibri" w:cs="calibri"/>
          <w:sz w:val="24"/>
          <w:szCs w:val="24"/>
          <w:b/>
        </w:rPr>
        <w:t xml:space="preserve">nie pozostaje w 100% w miejscu wykonania tatuażu</w:t>
      </w:r>
      <w:r>
        <w:rPr>
          <w:rFonts w:ascii="calibri" w:hAnsi="calibri" w:eastAsia="calibri" w:cs="calibri"/>
          <w:sz w:val="24"/>
          <w:szCs w:val="24"/>
        </w:rPr>
        <w:t xml:space="preserve">. </w:t>
      </w:r>
      <w:r>
        <w:rPr>
          <w:rFonts w:ascii="calibri" w:hAnsi="calibri" w:eastAsia="calibri" w:cs="calibri"/>
          <w:sz w:val="24"/>
          <w:szCs w:val="24"/>
        </w:rPr>
        <w:t xml:space="preserve">Część jego cząstek jest wychwytywana przez komórki układu odpornościowego i może być transportowana drogą limfatyczną do regionalnych węzłów chłonnych. </w:t>
      </w:r>
      <w:r>
        <w:rPr>
          <w:rFonts w:ascii="calibri" w:hAnsi="calibri" w:eastAsia="calibri" w:cs="calibri"/>
          <w:sz w:val="24"/>
          <w:szCs w:val="24"/>
        </w:rPr>
        <w:t xml:space="preserve">Nie jest to nowa teoria. Obecność pigmentów tatuażowych w węzłach chłonnych została dobrze udokumentowana.</w:t>
      </w:r>
    </w:p>
    <w:p>
      <w:pPr>
        <w:spacing w:before="0" w:after="300"/>
      </w:pPr>
      <w:r>
        <w:rPr>
          <w:rFonts w:ascii="calibri" w:hAnsi="calibri" w:eastAsia="calibri" w:cs="calibri"/>
          <w:sz w:val="24"/>
          <w:szCs w:val="24"/>
        </w:rPr>
        <w:t xml:space="preserve">Badanie opublikowane w PNAS w 2025 roku na modelu myszy pokazało również, że pigment może gromadzić się w makrofagach w węzłach chłonnych oraz powodować utrzymującą się lokalną reakcję zapalną. W eksperymencie obserwowano także zmiany odpowiedzi immunologicznej na zastosowane szczepionki. </w:t>
      </w:r>
      <w:r>
        <w:rPr>
          <w:rFonts w:ascii="calibri" w:hAnsi="calibri" w:eastAsia="calibri" w:cs="calibri"/>
          <w:sz w:val="24"/>
          <w:szCs w:val="24"/>
        </w:rPr>
        <w:t xml:space="preserve">Trzeba jednak podkreślić dwie rzeczy.</w:t>
      </w:r>
    </w:p>
    <w:p>
      <w:pPr>
        <w:spacing w:before="0" w:after="300"/>
      </w:pPr>
      <w:r>
        <w:rPr>
          <w:rFonts w:ascii="calibri" w:hAnsi="calibri" w:eastAsia="calibri" w:cs="calibri"/>
          <w:sz w:val="24"/>
          <w:szCs w:val="24"/>
        </w:rPr>
        <w:t xml:space="preserve">Po pierwsze, </w:t>
      </w:r>
      <w:r>
        <w:rPr>
          <w:rFonts w:ascii="calibri" w:hAnsi="calibri" w:eastAsia="calibri" w:cs="calibri"/>
          <w:sz w:val="24"/>
          <w:szCs w:val="24"/>
          <w:b/>
        </w:rPr>
        <w:t xml:space="preserve">reakcja immunologiczna nie jest równoznaczna z chorobą nowotworową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 drugie, było to badanie eksperymentalne na modelu zwierzęcym.</w:t>
      </w:r>
    </w:p>
    <w:p>
      <w:pPr>
        <w:spacing w:before="0" w:after="300"/>
      </w:pPr>
      <w:r>
        <w:rPr>
          <w:rFonts w:ascii="calibri" w:hAnsi="calibri" w:eastAsia="calibri" w:cs="calibri"/>
          <w:sz w:val="24"/>
          <w:szCs w:val="24"/>
        </w:rPr>
        <w:t xml:space="preserve">W 2026 roku w PNAS ukazał się komentarz dermatologa Nicolasa Klugera wskazujący właśnie na ograniczenia przenoszenia wyników tego modelu bezpośrednio na rzeczywiste tatuowanie ludzi. </w:t>
      </w:r>
      <w:r>
        <w:rPr>
          <w:rFonts w:ascii="calibri" w:hAnsi="calibri" w:eastAsia="calibri" w:cs="calibri"/>
          <w:sz w:val="24"/>
          <w:szCs w:val="24"/>
        </w:rPr>
        <w:t xml:space="preserve">To dobry przykład tego, jak działa nauka: jedno badanie otwiera pytanie, kolejne je sprawdzają, krytykują metodologię i próbują ustalić, czy obserwowany efekt ma znaczenie kliniczne dla człowieka.</w:t>
      </w:r>
    </w:p>
    <w:p>
      <w:pPr>
        <w:spacing w:before="0" w:after="500" w:line="264" w:lineRule="auto"/>
      </w:pPr>
      <w:r>
        <w:rPr>
          <w:rFonts w:ascii="calibri" w:hAnsi="calibri" w:eastAsia="calibri" w:cs="calibri"/>
          <w:sz w:val="36"/>
          <w:szCs w:val="36"/>
          <w:b/>
        </w:rPr>
        <w:t xml:space="preserve">A co z substancjami rakotwórczymi w tuszach?</w:t>
      </w:r>
    </w:p>
    <w:p>
      <w:pPr>
        <w:spacing w:before="0" w:after="300"/>
      </w:pPr>
      <w:r>
        <w:rPr>
          <w:rFonts w:ascii="calibri" w:hAnsi="calibri" w:eastAsia="calibri" w:cs="calibri"/>
          <w:sz w:val="24"/>
          <w:szCs w:val="24"/>
        </w:rPr>
        <w:t xml:space="preserve">To jeden z najważniejszych elementów całej dyskusji.</w:t>
      </w:r>
    </w:p>
    <w:p>
      <w:pPr>
        <w:spacing w:before="0" w:after="300"/>
      </w:pPr>
      <w:r>
        <w:rPr>
          <w:rFonts w:ascii="calibri" w:hAnsi="calibri" w:eastAsia="calibri" w:cs="calibri"/>
          <w:sz w:val="24"/>
          <w:szCs w:val="24"/>
        </w:rPr>
        <w:t xml:space="preserve">Historycznie i w badaniach produktów dostępnych na różnych rynkach wykrywano w tuszach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wielopierścieniowe węglowodory aromatyczne, czyli WWA/PAH,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niektóre aminy aromatyczne,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metale,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substancje o działaniu uczulającym lub drażniącym,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inne związki klasyfikowane jako potencjalnie niebezpieczne.</w:t>
      </w:r>
    </w:p>
    <w:p>
      <w:pPr>
        <w:spacing w:before="0" w:after="300"/>
      </w:pPr>
      <w:r>
        <w:rPr>
          <w:rFonts w:ascii="calibri" w:hAnsi="calibri" w:eastAsia="calibri" w:cs="calibri"/>
          <w:sz w:val="24"/>
          <w:szCs w:val="24"/>
        </w:rPr>
        <w:t xml:space="preserve">Dlatego informacje o chemicznym składzie tuszu nie są wymysłem ani „straszeniem”. </w:t>
      </w:r>
      <w:r>
        <w:rPr>
          <w:rFonts w:ascii="calibri" w:hAnsi="calibri" w:eastAsia="calibri" w:cs="calibri"/>
          <w:sz w:val="24"/>
          <w:szCs w:val="24"/>
        </w:rPr>
        <w:t xml:space="preserve">Jest jednak zasadnicza różnica pomiędzy stwierdzeniem:</w:t>
      </w:r>
    </w:p>
    <w:p>
      <w:pPr>
        <w:spacing w:before="0" w:after="300"/>
      </w:pPr>
      <w:r>
        <w:rPr>
          <w:rFonts w:ascii="calibri" w:hAnsi="calibri" w:eastAsia="calibri" w:cs="calibri"/>
          <w:sz w:val="24"/>
          <w:szCs w:val="24"/>
          <w:b/>
        </w:rPr>
        <w:t xml:space="preserve">„w tuszach do tatuażu mogą występować substancje niebezpieczne”</w:t>
      </w:r>
    </w:p>
    <w:p>
      <w:pPr>
        <w:spacing w:before="0" w:after="300"/>
      </w:pPr>
      <w:r>
        <w:rPr>
          <w:rFonts w:ascii="calibri" w:hAnsi="calibri" w:eastAsia="calibri" w:cs="calibri"/>
          <w:sz w:val="24"/>
          <w:szCs w:val="24"/>
        </w:rPr>
        <w:t xml:space="preserve">a:</w:t>
      </w:r>
    </w:p>
    <w:p>
      <w:pPr>
        <w:spacing w:before="0" w:after="300"/>
      </w:pPr>
      <w:r>
        <w:rPr>
          <w:rFonts w:ascii="calibri" w:hAnsi="calibri" w:eastAsia="calibri" w:cs="calibri"/>
          <w:sz w:val="24"/>
          <w:szCs w:val="24"/>
          <w:b/>
        </w:rPr>
        <w:t xml:space="preserve">„każdy współczesny tusz używany w profesjonalnym europejskim studiu zawiera rakotwórcze substancje w niekontrolowanych ilościach”.</w:t>
      </w:r>
    </w:p>
    <w:p>
      <w:pPr>
        <w:spacing w:before="0" w:after="300"/>
      </w:pPr>
      <w:r>
        <w:rPr>
          <w:rFonts w:ascii="calibri" w:hAnsi="calibri" w:eastAsia="calibri" w:cs="calibri"/>
          <w:sz w:val="24"/>
          <w:szCs w:val="24"/>
        </w:rPr>
        <w:t xml:space="preserve">Drugie zdanie nie opisuje aktualnych realiów prawnych Unii Europejskiej.</w:t>
      </w:r>
    </w:p>
    <w:p>
      <w:pPr>
        <w:spacing w:before="0" w:after="500" w:line="264" w:lineRule="auto"/>
      </w:pPr>
      <w:r>
        <w:rPr>
          <w:rFonts w:ascii="calibri" w:hAnsi="calibri" w:eastAsia="calibri" w:cs="calibri"/>
          <w:sz w:val="36"/>
          <w:szCs w:val="36"/>
          <w:b/>
        </w:rPr>
        <w:t xml:space="preserve">REACH: dlaczego sytuacja w Europie jest inna niż w USA?</w:t>
      </w:r>
    </w:p>
    <w:p>
      <w:pPr>
        <w:spacing w:before="0" w:after="300"/>
      </w:pPr>
      <w:r>
        <w:rPr>
          <w:rFonts w:ascii="calibri" w:hAnsi="calibri" w:eastAsia="calibri" w:cs="calibri"/>
          <w:sz w:val="24"/>
          <w:szCs w:val="24"/>
        </w:rPr>
        <w:t xml:space="preserve">Wiele artykułów medialnych dotyczących bezpieczeństwa tatuaży powstaje w Stanach Zjednoczonych. Nie wszystkie informacje dotyczące regulacji tuszów można więc automatycznie przenieść na Polskę i pozostałe kraje UE.</w:t>
      </w:r>
    </w:p>
    <w:p>
      <w:pPr>
        <w:spacing w:before="0" w:after="300"/>
      </w:pPr>
      <w:r>
        <w:rPr>
          <w:rFonts w:ascii="calibri" w:hAnsi="calibri" w:eastAsia="calibri" w:cs="calibri"/>
          <w:sz w:val="24"/>
          <w:szCs w:val="24"/>
        </w:rPr>
        <w:t xml:space="preserve">Od </w:t>
      </w:r>
      <w:r>
        <w:rPr>
          <w:rFonts w:ascii="calibri" w:hAnsi="calibri" w:eastAsia="calibri" w:cs="calibri"/>
          <w:sz w:val="24"/>
          <w:szCs w:val="24"/>
          <w:b/>
        </w:rPr>
        <w:t xml:space="preserve">4 stycznia 2022 roku</w:t>
      </w:r>
      <w:r>
        <w:rPr>
          <w:rFonts w:ascii="calibri" w:hAnsi="calibri" w:eastAsia="calibri" w:cs="calibri"/>
          <w:sz w:val="24"/>
          <w:szCs w:val="24"/>
        </w:rPr>
        <w:t xml:space="preserve"> na terenie Unii Europejskiej i Europejskiego Obszaru Gospodarczego obowiązuje szczególne ograniczenie REACH dotyczące substancji znajdujących się w tuszach do tatuażu i makijażu permanentnego. </w:t>
      </w:r>
      <w:r>
        <w:rPr>
          <w:rFonts w:ascii="calibri" w:hAnsi="calibri" w:eastAsia="calibri" w:cs="calibri"/>
          <w:sz w:val="24"/>
          <w:szCs w:val="24"/>
        </w:rPr>
        <w:t xml:space="preserve">Dla Pigment Blue 15:3 i Pigment Green 7 przewidziano okres przejściowy do 4 stycznia 2023 roku.</w:t>
      </w:r>
    </w:p>
    <w:p>
      <w:pPr>
        <w:spacing w:before="0" w:after="300"/>
      </w:pPr>
      <w:r>
        <w:rPr>
          <w:rFonts w:ascii="calibri" w:hAnsi="calibri" w:eastAsia="calibri" w:cs="calibri"/>
          <w:sz w:val="24"/>
          <w:szCs w:val="24"/>
        </w:rPr>
        <w:t xml:space="preserve">Regulacja została wprowadzona właśnie ze względu na potencjalne ryzyka chemiczne związane z wprowadzaniem tych substancji pod skórę.</w:t>
      </w:r>
    </w:p>
    <w:p>
      <w:pPr>
        <w:spacing w:before="0" w:after="500" w:line="264" w:lineRule="auto"/>
      </w:pPr>
      <w:r>
        <w:rPr>
          <w:rFonts w:ascii="calibri" w:hAnsi="calibri" w:eastAsia="calibri" w:cs="calibri"/>
          <w:sz w:val="36"/>
          <w:szCs w:val="36"/>
          <w:b/>
        </w:rPr>
        <w:t xml:space="preserve">Co ogranicza REACH w tuszach do tatuażu?</w:t>
      </w:r>
    </w:p>
    <w:p>
      <w:pPr>
        <w:spacing w:before="0" w:after="300"/>
      </w:pPr>
      <w:r>
        <w:rPr>
          <w:rFonts w:ascii="calibri" w:hAnsi="calibri" w:eastAsia="calibri" w:cs="calibri"/>
          <w:sz w:val="24"/>
          <w:szCs w:val="24"/>
        </w:rPr>
        <w:t xml:space="preserve">Według Europejskiej Agencji Chemikaliów ECHA ograniczenie obejmuje </w:t>
      </w:r>
      <w:r>
        <w:rPr>
          <w:rFonts w:ascii="calibri" w:hAnsi="calibri" w:eastAsia="calibri" w:cs="calibri"/>
          <w:sz w:val="24"/>
          <w:szCs w:val="24"/>
          <w:b/>
        </w:rPr>
        <w:t xml:space="preserve">ponad 4000 niebezpiecznych substancji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Dotyczy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substancji rakotwórczych,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substancji mutagennych,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substancji toksycznych dla rozrodczości,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substancji uczulających i drażniących,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określonych metali,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wielopierścieniowych węglowodorów aromatycznych,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niektórych amin aromatycznych,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wybranych barwników i ich produktów rozpadu,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metanolu.</w:t>
      </w:r>
    </w:p>
    <w:p>
      <w:pPr>
        <w:spacing w:before="0" w:after="300"/>
      </w:pPr>
      <w:r>
        <w:rPr>
          <w:rFonts w:ascii="calibri" w:hAnsi="calibri" w:eastAsia="calibri" w:cs="calibri"/>
          <w:sz w:val="24"/>
          <w:szCs w:val="24"/>
        </w:rPr>
        <w:t xml:space="preserve">Dla poszczególnych substancji określono maksymalne dopuszczalne stężenia. </w:t>
      </w:r>
      <w:r>
        <w:rPr>
          <w:rFonts w:ascii="calibri" w:hAnsi="calibri" w:eastAsia="calibri" w:cs="calibri"/>
          <w:sz w:val="24"/>
          <w:szCs w:val="24"/>
        </w:rPr>
        <w:t xml:space="preserve">Mieszaniny przeznaczone do tatuowania muszą również posiadać odpowiednie oznakowanie, listę składników i wymagane informacje dotyczące bezpieczeństwa.</w:t>
      </w:r>
    </w:p>
    <w:p>
      <w:pPr>
        <w:spacing w:before="0" w:after="300"/>
      </w:pPr>
      <w:r>
        <w:rPr>
          <w:rFonts w:ascii="calibri" w:hAnsi="calibri" w:eastAsia="calibri" w:cs="calibri"/>
          <w:sz w:val="24"/>
          <w:szCs w:val="24"/>
        </w:rPr>
        <w:t xml:space="preserve">Celem tych przepisów, jak wyjaśnia ECHA, </w:t>
      </w:r>
      <w:r>
        <w:rPr>
          <w:rFonts w:ascii="calibri" w:hAnsi="calibri" w:eastAsia="calibri" w:cs="calibri"/>
          <w:sz w:val="24"/>
          <w:szCs w:val="24"/>
          <w:b/>
        </w:rPr>
        <w:t xml:space="preserve">nie jest zakazanie tatuaży, lecz uczynienie stosowanych pigmentów i mieszanin bezpieczniejszymi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 „REACH compliant” oznacza, że tusz jest całkowicie bezpieczny?</w:t>
      </w:r>
    </w:p>
    <w:p>
      <w:pPr>
        <w:spacing w:before="0" w:after="300"/>
      </w:pPr>
      <w:r>
        <w:rPr>
          <w:rFonts w:ascii="calibri" w:hAnsi="calibri" w:eastAsia="calibri" w:cs="calibri"/>
          <w:sz w:val="24"/>
          <w:szCs w:val="24"/>
        </w:rPr>
        <w:t xml:space="preserve">Nie.</w:t>
      </w:r>
    </w:p>
    <w:p>
      <w:pPr>
        <w:spacing w:before="0" w:after="300"/>
      </w:pPr>
      <w:r>
        <w:rPr>
          <w:rFonts w:ascii="calibri" w:hAnsi="calibri" w:eastAsia="calibri" w:cs="calibri"/>
          <w:sz w:val="24"/>
          <w:szCs w:val="24"/>
        </w:rPr>
        <w:t xml:space="preserve">I naszym zdaniem warto mówić o tym uczciwie. Zgodność z REACH oznacza, że produkt musi spełniać określone europejskim prawem wymagania dotyczące substancji chemicznych i ich dopuszczalnych stężeń. Nie oznacza to, że nauka udowodniła absolutny brak jakiegokolwiek długoterminowego wpływu pigmentu na organizm.</w:t>
      </w:r>
    </w:p>
    <w:p>
      <w:pPr>
        <w:spacing w:before="0" w:after="300"/>
      </w:pPr>
      <w:r>
        <w:rPr>
          <w:rFonts w:ascii="calibri" w:hAnsi="calibri" w:eastAsia="calibri" w:cs="calibri"/>
          <w:sz w:val="24"/>
          <w:szCs w:val="24"/>
        </w:rPr>
        <w:t xml:space="preserve">REACH ogranicza </w:t>
      </w:r>
      <w:r>
        <w:rPr>
          <w:rFonts w:ascii="calibri" w:hAnsi="calibri" w:eastAsia="calibri" w:cs="calibri"/>
          <w:sz w:val="24"/>
          <w:szCs w:val="24"/>
          <w:b/>
        </w:rPr>
        <w:t xml:space="preserve">znane i zidentyfikowane zagrożenia chemiczne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 zmienia natomiast faktu, że podczas wykonywania tatuażu obca substancja zostaje na stałe wprowadzona do skóry, a część pigmentu może migrować do układu limfatycznego. Dlatego badania długoterminowych efektów tatuaży są potrzebne również w Europie.</w:t>
      </w:r>
    </w:p>
    <w:p>
      <w:pPr>
        <w:spacing w:before="0" w:after="500" w:line="264" w:lineRule="auto"/>
      </w:pPr>
      <w:r>
        <w:rPr>
          <w:rFonts w:ascii="calibri" w:hAnsi="calibri" w:eastAsia="calibri" w:cs="calibri"/>
          <w:sz w:val="36"/>
          <w:szCs w:val="36"/>
          <w:b/>
        </w:rPr>
        <w:t xml:space="preserve">Co z tego wynika dla osoby, która chce zrobić tatuaż?</w:t>
      </w:r>
    </w:p>
    <w:p>
      <w:pPr>
        <w:spacing w:before="0" w:after="300"/>
      </w:pPr>
      <w:r>
        <w:rPr>
          <w:rFonts w:ascii="calibri" w:hAnsi="calibri" w:eastAsia="calibri" w:cs="calibri"/>
          <w:sz w:val="24"/>
          <w:szCs w:val="24"/>
        </w:rPr>
        <w:t xml:space="preserve">Nie widzimy podstaw, żeby na podstawie aktualnych badań przedstawiać tatuaż jako potwierdzony czynnik powodujący nowotwory. Nie byłoby jednak również odpowiedzialne twierdzenie, że tatuaż jest procedurą biologicznie zupełnie obojętną. Wiedza naukowa się rozwija, a profesjonalna branża powinna ją śledzić.</w:t>
      </w:r>
    </w:p>
    <w:p>
      <w:pPr>
        <w:spacing w:before="0" w:after="300"/>
      </w:pPr>
      <w:r>
        <w:rPr>
          <w:rFonts w:ascii="calibri" w:hAnsi="calibri" w:eastAsia="calibri" w:cs="calibri"/>
          <w:sz w:val="24"/>
          <w:szCs w:val="24"/>
        </w:rPr>
        <w:t xml:space="preserve">Z perspektywy klienta warto natomiast wybierać studio, które traktuje bezpieczeństwo jako część swojej pracy, a nie marketingowy slogan.</w:t>
      </w:r>
    </w:p>
    <w:p>
      <w:pPr>
        <w:spacing w:before="0" w:after="500" w:line="264" w:lineRule="auto"/>
      </w:pPr>
      <w:r>
        <w:rPr>
          <w:rFonts w:ascii="calibri" w:hAnsi="calibri" w:eastAsia="calibri" w:cs="calibri"/>
          <w:sz w:val="36"/>
          <w:szCs w:val="36"/>
          <w:b/>
        </w:rPr>
        <w:t xml:space="preserve">Jak podchodzimy do bezpieczeństwa w Kult Tattoo?</w:t>
      </w:r>
    </w:p>
    <w:p>
      <w:pPr>
        <w:spacing w:before="0" w:after="300"/>
      </w:pPr>
      <w:r>
        <w:rPr>
          <w:rFonts w:ascii="calibri" w:hAnsi="calibri" w:eastAsia="calibri" w:cs="calibri"/>
          <w:sz w:val="24"/>
          <w:szCs w:val="24"/>
        </w:rPr>
        <w:t xml:space="preserve">W Kult Tattoo pracujemy zgodnie z obowiązującymi w Polsce i Unii Europejskiej wymaganiami. </w:t>
      </w:r>
      <w:r>
        <w:rPr>
          <w:rFonts w:ascii="calibri" w:hAnsi="calibri" w:eastAsia="calibri" w:cs="calibri"/>
          <w:sz w:val="24"/>
          <w:szCs w:val="24"/>
        </w:rPr>
        <w:t xml:space="preserve">Korzystamy z profesjonalnych produktów przeznaczonych do tatuowania i zgodnych z aktualnymi wymaganiami REACH obowiązującymi w UE. </w:t>
      </w:r>
      <w:r>
        <w:rPr>
          <w:rFonts w:ascii="calibri" w:hAnsi="calibri" w:eastAsia="calibri" w:cs="calibri"/>
          <w:sz w:val="24"/>
          <w:szCs w:val="24"/>
        </w:rPr>
        <w:t xml:space="preserve">Zwracamy uwagę na pochodzenie produktów, ich oznakowanie, terminy przydatności oraz prawidłowe przechowywanie. Nie korzystamy z przypadkowych pigmentów ani produktów niewiadomego pochodzenia.</w:t>
      </w:r>
    </w:p>
    <w:p>
      <w:pPr>
        <w:spacing w:before="0" w:after="300"/>
      </w:pPr>
      <w:r>
        <w:rPr>
          <w:rFonts w:ascii="calibri" w:hAnsi="calibri" w:eastAsia="calibri" w:cs="calibri"/>
          <w:sz w:val="24"/>
          <w:szCs w:val="24"/>
        </w:rPr>
        <w:t xml:space="preserve">Bezpieczeństwo to jednak nie tylko tusz.</w:t>
      </w:r>
    </w:p>
    <w:p>
      <w:pPr>
        <w:spacing w:before="0" w:after="300"/>
      </w:pPr>
      <w:r>
        <w:rPr>
          <w:rFonts w:ascii="calibri" w:hAnsi="calibri" w:eastAsia="calibri" w:cs="calibri"/>
          <w:sz w:val="24"/>
          <w:szCs w:val="24"/>
        </w:rPr>
        <w:t xml:space="preserve">To również: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prawidłowa higiena stanowiska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jednorazowe materiały tam, gdzie jest to wymagane,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właściwe przygotowanie skóry,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procedury ograniczające ryzyko zakażenia i kontaminacji,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odpowiednie postępowanie podczas sesji,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przekazanie klientowi informacji dotyczących prawidłowego gojenia tatuażu.</w:t>
      </w:r>
    </w:p>
    <w:p>
      <w:pPr>
        <w:spacing w:before="0" w:after="300"/>
      </w:pPr>
      <w:r>
        <w:rPr>
          <w:rFonts w:ascii="calibri" w:hAnsi="calibri" w:eastAsia="calibri" w:cs="calibri"/>
          <w:sz w:val="24"/>
          <w:szCs w:val="24"/>
        </w:rPr>
        <w:t xml:space="preserve">Nie możemy obiecać czegoś, czego nie może dziś obiecać nauka, czyli „zerowego ryzyka”.</w:t>
      </w:r>
    </w:p>
    <w:p>
      <w:pPr>
        <w:spacing w:before="0" w:after="300"/>
      </w:pPr>
      <w:r>
        <w:rPr>
          <w:rFonts w:ascii="calibri" w:hAnsi="calibri" w:eastAsia="calibri" w:cs="calibri"/>
          <w:sz w:val="24"/>
          <w:szCs w:val="24"/>
        </w:rPr>
        <w:t xml:space="preserve">Możemy natomiast ograniczać ryzyko tam, gdzie profesjonalne studio rzeczywiście ma na nie wpływ.</w:t>
      </w:r>
    </w:p>
    <w:p>
      <w:pPr>
        <w:spacing w:before="0" w:after="300"/>
      </w:pPr>
      <w:r>
        <w:rPr>
          <w:rFonts w:ascii="calibri" w:hAnsi="calibri" w:eastAsia="calibri" w:cs="calibri"/>
          <w:sz w:val="24"/>
          <w:szCs w:val="24"/>
        </w:rPr>
        <w:t xml:space="preserve">I właśnie to uważamy za swoją odpowiedzialność.</w:t>
      </w:r>
    </w:p>
    <w:p>
      <w:pPr>
        <w:spacing w:before="0" w:after="600" w:line="240" w:lineRule="auto"/>
      </w:pPr>
      <w:r>
        <w:rPr>
          <w:rFonts w:ascii="calibri" w:hAnsi="calibri" w:eastAsia="calibri" w:cs="calibri"/>
          <w:sz w:val="52"/>
          <w:szCs w:val="52"/>
          <w:b/>
        </w:rPr>
        <w:t xml:space="preserve">Tatuaże a nowotwory: co wiemy we wrześniu 2026 roku?</w:t>
      </w:r>
    </w:p>
    <w:p>
      <w:pPr>
        <w:spacing w:before="0" w:after="200"/>
      </w:pPr>
      <w:r>
        <w:rPr>
          <w:rFonts w:ascii="calibri" w:hAnsi="calibri" w:eastAsia="calibri" w:cs="calibri"/>
          <w:sz w:val="28"/>
          <w:szCs w:val="28"/>
          <w:b/>
        </w:rPr>
        <w:t xml:space="preserve">Czy pigment może przemieszczać się z tatuażu do węzłów chłonnych?</w:t>
      </w:r>
    </w:p>
    <w:p>
      <w:pPr>
        <w:spacing w:before="0" w:after="300"/>
      </w:pPr>
      <w:r>
        <w:rPr>
          <w:rFonts w:ascii="calibri" w:hAnsi="calibri" w:eastAsia="calibri" w:cs="calibri"/>
          <w:sz w:val="24"/>
          <w:szCs w:val="24"/>
        </w:rPr>
        <w:t xml:space="preserve">Tak. To zostało dobrze udokumentowane.</w:t>
      </w:r>
    </w:p>
    <w:p>
      <w:pPr>
        <w:spacing w:before="0" w:after="200"/>
      </w:pPr>
      <w:r>
        <w:rPr>
          <w:rFonts w:ascii="calibri" w:hAnsi="calibri" w:eastAsia="calibri" w:cs="calibri"/>
          <w:sz w:val="28"/>
          <w:szCs w:val="28"/>
          <w:b/>
        </w:rPr>
        <w:t xml:space="preserve">Czy tatuaż powoduje reakcję układu odpornościowego?</w:t>
      </w:r>
    </w:p>
    <w:p>
      <w:pPr>
        <w:spacing w:before="0" w:after="300"/>
      </w:pPr>
      <w:r>
        <w:rPr>
          <w:rFonts w:ascii="calibri" w:hAnsi="calibri" w:eastAsia="calibri" w:cs="calibri"/>
          <w:sz w:val="24"/>
          <w:szCs w:val="24"/>
        </w:rPr>
        <w:t xml:space="preserve">Tak. Wprowadzenie pigmentu do skóry wywołuje odpowiedź immunologiczną.</w:t>
      </w:r>
    </w:p>
    <w:p>
      <w:pPr>
        <w:spacing w:before="0" w:after="200"/>
      </w:pPr>
      <w:r>
        <w:rPr>
          <w:rFonts w:ascii="calibri" w:hAnsi="calibri" w:eastAsia="calibri" w:cs="calibri"/>
          <w:sz w:val="28"/>
          <w:szCs w:val="28"/>
          <w:b/>
        </w:rPr>
        <w:t xml:space="preserve">Czy niektóre substancje występujące w tuszach mogą być szkodliwe?</w:t>
      </w:r>
    </w:p>
    <w:p>
      <w:pPr>
        <w:spacing w:before="0" w:after="300"/>
      </w:pPr>
      <w:r>
        <w:rPr>
          <w:rFonts w:ascii="calibri" w:hAnsi="calibri" w:eastAsia="calibri" w:cs="calibri"/>
          <w:sz w:val="24"/>
          <w:szCs w:val="24"/>
        </w:rPr>
        <w:t xml:space="preserve">Tak. Właśnie dlatego ich stosowanie i dopuszczalne stężenia są w UE regulowane przez REACH.</w:t>
      </w:r>
    </w:p>
    <w:p>
      <w:pPr>
        <w:spacing w:before="0" w:after="200"/>
      </w:pPr>
      <w:r>
        <w:rPr>
          <w:rFonts w:ascii="calibri" w:hAnsi="calibri" w:eastAsia="calibri" w:cs="calibri"/>
          <w:sz w:val="28"/>
          <w:szCs w:val="28"/>
          <w:b/>
        </w:rPr>
        <w:t xml:space="preserve">Czy badania wykazały, że osoby tatuowane częściej chorują na niektóre nowotwory?</w:t>
      </w:r>
    </w:p>
    <w:p>
      <w:pPr>
        <w:spacing w:before="0" w:after="300"/>
      </w:pPr>
      <w:r>
        <w:rPr>
          <w:rFonts w:ascii="calibri" w:hAnsi="calibri" w:eastAsia="calibri" w:cs="calibri"/>
          <w:sz w:val="24"/>
          <w:szCs w:val="24"/>
        </w:rPr>
        <w:t xml:space="preserve">Niektóre badania obserwacyjne wykazały takie zależności. Inne ich nie potwierdziły.</w:t>
      </w:r>
    </w:p>
    <w:p>
      <w:pPr>
        <w:spacing w:before="0" w:after="200"/>
      </w:pPr>
      <w:r>
        <w:rPr>
          <w:rFonts w:ascii="calibri" w:hAnsi="calibri" w:eastAsia="calibri" w:cs="calibri"/>
          <w:sz w:val="28"/>
          <w:szCs w:val="28"/>
          <w:b/>
        </w:rPr>
        <w:t xml:space="preserve">Czy udowodniono, że tatuaże powodują raka?</w:t>
      </w:r>
    </w:p>
    <w:p>
      <w:pPr>
        <w:spacing w:before="0" w:after="300"/>
      </w:pPr>
      <w:r>
        <w:rPr>
          <w:rFonts w:ascii="calibri" w:hAnsi="calibri" w:eastAsia="calibri" w:cs="calibri"/>
          <w:sz w:val="24"/>
          <w:szCs w:val="24"/>
        </w:rPr>
        <w:t xml:space="preserve">Nie.</w:t>
      </w:r>
    </w:p>
    <w:p>
      <w:pPr>
        <w:spacing w:before="0" w:after="200"/>
      </w:pPr>
      <w:r>
        <w:rPr>
          <w:rFonts w:ascii="calibri" w:hAnsi="calibri" w:eastAsia="calibri" w:cs="calibri"/>
          <w:sz w:val="28"/>
          <w:szCs w:val="28"/>
          <w:b/>
        </w:rPr>
        <w:t xml:space="preserve">Co mówi najnowsza metaanaliza z 2026 roku?</w:t>
      </w:r>
    </w:p>
    <w:p>
      <w:pPr>
        <w:spacing w:before="0" w:after="300"/>
      </w:pPr>
      <w:r>
        <w:rPr>
          <w:rFonts w:ascii="calibri" w:hAnsi="calibri" w:eastAsia="calibri" w:cs="calibri"/>
          <w:sz w:val="24"/>
          <w:szCs w:val="24"/>
        </w:rPr>
        <w:t xml:space="preserve">W podstawowej analizie danych ponad 140 tysięcy uczestników nie wykazano istotnego wzrostu ryzyka raka skóry ani nowotworów hematologicznych u osób tatuowanych. Autorzy nadal wskazują jednak na konieczność prowadzenia lepszych i dłuższych badań.</w:t>
      </w:r>
    </w:p>
    <w:p>
      <w:pPr>
        <w:spacing w:before="0" w:after="500" w:line="264" w:lineRule="auto"/>
      </w:pPr>
      <w:r>
        <w:rPr>
          <w:rFonts w:ascii="calibri" w:hAnsi="calibri" w:eastAsia="calibri" w:cs="calibri"/>
          <w:sz w:val="36"/>
          <w:szCs w:val="36"/>
          <w:b/>
        </w:rPr>
        <w:t xml:space="preserve">Nauka nie kończy się na jednym badaniu</w:t>
      </w:r>
    </w:p>
    <w:p>
      <w:pPr>
        <w:spacing w:before="0" w:after="300"/>
      </w:pPr>
      <w:r>
        <w:rPr>
          <w:rFonts w:ascii="calibri" w:hAnsi="calibri" w:eastAsia="calibri" w:cs="calibri"/>
          <w:sz w:val="24"/>
          <w:szCs w:val="24"/>
        </w:rPr>
        <w:t xml:space="preserve">Dla nas odpowiedzialne podejście nie oznacza wybierania wyłącznie badań, które mówią to, co chcielibyśmy usłyszeć. </w:t>
      </w:r>
      <w:r>
        <w:rPr>
          <w:rFonts w:ascii="calibri" w:hAnsi="calibri" w:eastAsia="calibri" w:cs="calibri"/>
          <w:sz w:val="24"/>
          <w:szCs w:val="24"/>
        </w:rPr>
        <w:t xml:space="preserve">Jeżeli pojawią się nowe, dobrej jakości dowody dotyczące bezpieczeństwa tatuowania, będziemy je śledzić. </w:t>
      </w:r>
      <w:r>
        <w:rPr>
          <w:rFonts w:ascii="calibri" w:hAnsi="calibri" w:eastAsia="calibri" w:cs="calibri"/>
          <w:sz w:val="24"/>
          <w:szCs w:val="24"/>
        </w:rPr>
        <w:t xml:space="preserve">Na wrzesień 2026 roku nauka nie daje podstaw do stwierdzenia, że tatuaże powodują nowotwory. Jednocześnie potwierdza, że pigment oddziałuje z organizmem i że jego skład ma znaczenie. </w:t>
      </w:r>
      <w:r>
        <w:rPr>
          <w:rFonts w:ascii="calibri" w:hAnsi="calibri" w:eastAsia="calibri" w:cs="calibri"/>
          <w:sz w:val="24"/>
          <w:szCs w:val="24"/>
        </w:rPr>
        <w:t xml:space="preserve">Dlatego europejskie regulacje REACH, odpowiedzialny wybór produktów, higiena oraz transparentność profesjonalnego studia są ważne.</w:t>
      </w:r>
    </w:p>
    <w:p>
      <w:pPr>
        <w:spacing w:before="0" w:after="300"/>
      </w:pPr>
      <w:r>
        <w:rPr>
          <w:rFonts w:ascii="calibri" w:hAnsi="calibri" w:eastAsia="calibri" w:cs="calibri"/>
          <w:sz w:val="24"/>
          <w:szCs w:val="24"/>
        </w:rPr>
        <w:t xml:space="preserve">Jeśli przed wykonaniem tatuażu chcesz wiedzieć, na jakich produktach pracujemy albo masz pytania dotyczące bezpieczeństwa zabiegu, zapytaj nas. Uważamy, że klient ma prawo wiedzieć, co trafia do jego skóry.</w:t>
      </w:r>
    </w:p>
    <w:p>
      <w:pPr>
        <w:spacing w:before="0" w:after="300"/>
      </w:pPr>
      <w:r>
        <w:rPr>
          <w:rFonts w:ascii="calibri" w:hAnsi="calibri" w:eastAsia="calibri" w:cs="calibri"/>
          <w:sz w:val="24"/>
          <w:szCs w:val="24"/>
          <w:i/>
          <w:iCs/>
        </w:rPr>
        <w:t xml:space="preserve">Artykuł przedstawia aktualny stan badań naukowych i regulacji według informacji dostępnych we wrześniu 2026 roku. Nie zastępuje konsultacji medycznej.</w:t>
      </w:r>
    </w:p>
    <w:p>
      <w:pPr>
        <w:spacing w:before="0" w:after="300"/>
      </w:pPr>
      <w:r>
        <w:rPr>
          <w:rFonts w:ascii="calibri" w:hAnsi="calibri" w:eastAsia="calibri" w:cs="calibri"/>
          <w:sz w:val="24"/>
          <w:szCs w:val="24"/>
        </w:rPr>
        <w:t xml:space="preserve">Stan wiedzy: wrzesień 2026. Ostatnia aktualizacja: 3.09.2026.Źródła</w:t>
      </w:r>
    </w:p>
    <w:p>
      <w:pPr>
        <w:spacing w:before="0" w:after="300"/>
      </w:pPr>
      <w:r>
        <w:rPr>
          <w:rFonts w:ascii="calibri" w:hAnsi="calibri" w:eastAsia="calibri" w:cs="calibri"/>
          <w:sz w:val="24"/>
          <w:szCs w:val="24"/>
        </w:rPr>
        <w:t xml:space="preserve">Nielsen C., Jerkeman M., Jöud A.S., </w:t>
      </w:r>
      <w:r>
        <w:rPr>
          <w:rFonts w:ascii="calibri" w:hAnsi="calibri" w:eastAsia="calibri" w:cs="calibri"/>
          <w:sz w:val="24"/>
          <w:szCs w:val="24"/>
          <w:i/>
          <w:iCs/>
        </w:rPr>
        <w:t xml:space="preserve">Tattoos as a risk factor for malignant lymphoma: a population-based case-control study</w:t>
      </w:r>
      <w:r>
        <w:rPr>
          <w:rFonts w:ascii="calibri" w:hAnsi="calibri" w:eastAsia="calibri" w:cs="calibri"/>
          <w:sz w:val="24"/>
          <w:szCs w:val="24"/>
        </w:rPr>
        <w:t xml:space="preserve">, EClinicalMedicine, 2024.</w:t>
      </w:r>
    </w:p>
    <w:p>
      <w:pPr>
        <w:spacing w:before="0" w:after="300"/>
      </w:pPr>
      <w:r>
        <w:rPr>
          <w:rFonts w:ascii="calibri" w:hAnsi="calibri" w:eastAsia="calibri" w:cs="calibri"/>
          <w:sz w:val="24"/>
          <w:szCs w:val="24"/>
        </w:rPr>
        <w:t xml:space="preserve">Clemmensen S.B. i wsp., </w:t>
      </w:r>
      <w:r>
        <w:rPr>
          <w:rFonts w:ascii="calibri" w:hAnsi="calibri" w:eastAsia="calibri" w:cs="calibri"/>
          <w:sz w:val="24"/>
          <w:szCs w:val="24"/>
          <w:i/>
          <w:iCs/>
        </w:rPr>
        <w:t xml:space="preserve">Tattoo ink exposure is associated with lymphoma and skin cancers – a Danish study of twins</w:t>
      </w:r>
      <w:r>
        <w:rPr>
          <w:rFonts w:ascii="calibri" w:hAnsi="calibri" w:eastAsia="calibri" w:cs="calibri"/>
          <w:sz w:val="24"/>
          <w:szCs w:val="24"/>
        </w:rPr>
        <w:t xml:space="preserve">, BMC Public Health, 2025.</w:t>
      </w:r>
    </w:p>
    <w:p>
      <w:pPr>
        <w:spacing w:before="0" w:after="300"/>
      </w:pPr>
      <w:r>
        <w:rPr>
          <w:rFonts w:ascii="calibri" w:hAnsi="calibri" w:eastAsia="calibri" w:cs="calibri"/>
          <w:sz w:val="24"/>
          <w:szCs w:val="24"/>
        </w:rPr>
        <w:t xml:space="preserve">McCarty R.D. i wsp., </w:t>
      </w:r>
      <w:r>
        <w:rPr>
          <w:rFonts w:ascii="calibri" w:hAnsi="calibri" w:eastAsia="calibri" w:cs="calibri"/>
          <w:sz w:val="24"/>
          <w:szCs w:val="24"/>
          <w:i/>
          <w:iCs/>
        </w:rPr>
        <w:t xml:space="preserve">Tattooing and risk of melanoma: a population-based case-control study in Utah</w:t>
      </w:r>
      <w:r>
        <w:rPr>
          <w:rFonts w:ascii="calibri" w:hAnsi="calibri" w:eastAsia="calibri" w:cs="calibri"/>
          <w:sz w:val="24"/>
          <w:szCs w:val="24"/>
        </w:rPr>
        <w:t xml:space="preserve">, Journal of the National Cancer Institute, 2025.</w:t>
      </w:r>
    </w:p>
    <w:p>
      <w:pPr>
        <w:spacing w:before="0" w:after="300"/>
      </w:pPr>
      <w:r>
        <w:rPr>
          <w:rFonts w:ascii="calibri" w:hAnsi="calibri" w:eastAsia="calibri" w:cs="calibri"/>
          <w:sz w:val="24"/>
          <w:szCs w:val="24"/>
        </w:rPr>
        <w:t xml:space="preserve">Mo T. i wsp., </w:t>
      </w:r>
      <w:r>
        <w:rPr>
          <w:rFonts w:ascii="calibri" w:hAnsi="calibri" w:eastAsia="calibri" w:cs="calibri"/>
          <w:sz w:val="24"/>
          <w:szCs w:val="24"/>
          <w:i/>
          <w:iCs/>
        </w:rPr>
        <w:t xml:space="preserve">Tattoos and risk of cutaneous melanoma and nonmelanoma skin cancer in France</w:t>
      </w:r>
      <w:r>
        <w:rPr>
          <w:rFonts w:ascii="calibri" w:hAnsi="calibri" w:eastAsia="calibri" w:cs="calibri"/>
          <w:sz w:val="24"/>
          <w:szCs w:val="24"/>
        </w:rPr>
        <w:t xml:space="preserve">, Journal of the National Cancer Institute, 2026.</w:t>
      </w:r>
    </w:p>
    <w:p>
      <w:pPr>
        <w:spacing w:before="0" w:after="300"/>
      </w:pPr>
      <w:r>
        <w:rPr>
          <w:rFonts w:ascii="calibri" w:hAnsi="calibri" w:eastAsia="calibri" w:cs="calibri"/>
          <w:sz w:val="24"/>
          <w:szCs w:val="24"/>
        </w:rPr>
        <w:t xml:space="preserve">Tudella G.C.N. i wsp., </w:t>
      </w:r>
      <w:r>
        <w:rPr>
          <w:rFonts w:ascii="calibri" w:hAnsi="calibri" w:eastAsia="calibri" w:cs="calibri"/>
          <w:sz w:val="24"/>
          <w:szCs w:val="24"/>
          <w:i/>
          <w:iCs/>
        </w:rPr>
        <w:t xml:space="preserve">Is tattooing associated with an increased risk of cancer? A systematic review and meta-analysis</w:t>
      </w:r>
      <w:r>
        <w:rPr>
          <w:rFonts w:ascii="calibri" w:hAnsi="calibri" w:eastAsia="calibri" w:cs="calibri"/>
          <w:sz w:val="24"/>
          <w:szCs w:val="24"/>
        </w:rPr>
        <w:t xml:space="preserve">, Clinical and Translational Oncology, 2026.</w:t>
      </w:r>
    </w:p>
    <w:p>
      <w:pPr>
        <w:spacing w:before="0" w:after="300"/>
      </w:pPr>
      <w:r>
        <w:rPr>
          <w:rFonts w:ascii="calibri" w:hAnsi="calibri" w:eastAsia="calibri" w:cs="calibri"/>
          <w:sz w:val="24"/>
          <w:szCs w:val="24"/>
        </w:rPr>
        <w:t xml:space="preserve">Capucetti A. i wsp., </w:t>
      </w:r>
      <w:r>
        <w:rPr>
          <w:rFonts w:ascii="calibri" w:hAnsi="calibri" w:eastAsia="calibri" w:cs="calibri"/>
          <w:sz w:val="24"/>
          <w:szCs w:val="24"/>
          <w:i/>
          <w:iCs/>
        </w:rPr>
        <w:t xml:space="preserve">Tattoo ink induces inflammation in the draining lymph node and alters the immune response to vaccination</w:t>
      </w:r>
      <w:r>
        <w:rPr>
          <w:rFonts w:ascii="calibri" w:hAnsi="calibri" w:eastAsia="calibri" w:cs="calibri"/>
          <w:sz w:val="24"/>
          <w:szCs w:val="24"/>
        </w:rPr>
        <w:t xml:space="preserve">, PNAS, 2025.</w:t>
      </w:r>
    </w:p>
    <w:p>
      <w:pPr>
        <w:spacing w:before="0" w:after="300"/>
      </w:pPr>
      <w:r>
        <w:rPr>
          <w:rFonts w:ascii="calibri" w:hAnsi="calibri" w:eastAsia="calibri" w:cs="calibri"/>
          <w:sz w:val="24"/>
          <w:szCs w:val="24"/>
        </w:rPr>
        <w:t xml:space="preserve">Kluger N., </w:t>
      </w:r>
      <w:r>
        <w:rPr>
          <w:rFonts w:ascii="calibri" w:hAnsi="calibri" w:eastAsia="calibri" w:cs="calibri"/>
          <w:sz w:val="24"/>
          <w:szCs w:val="24"/>
          <w:i/>
          <w:iCs/>
        </w:rPr>
        <w:t xml:space="preserve">Tattooing and immune response: A mouse model too far from clinical reality</w:t>
      </w:r>
      <w:r>
        <w:rPr>
          <w:rFonts w:ascii="calibri" w:hAnsi="calibri" w:eastAsia="calibri" w:cs="calibri"/>
          <w:sz w:val="24"/>
          <w:szCs w:val="24"/>
        </w:rPr>
        <w:t xml:space="preserve">, PNAS, 2026.</w:t>
      </w:r>
    </w:p>
    <w:p>
      <w:pPr>
        <w:spacing w:before="0" w:after="300"/>
      </w:pPr>
      <w:r>
        <w:rPr>
          <w:rFonts w:ascii="calibri" w:hAnsi="calibri" w:eastAsia="calibri" w:cs="calibri"/>
          <w:sz w:val="24"/>
          <w:szCs w:val="24"/>
        </w:rPr>
        <w:t xml:space="preserve">European Chemicals Agency, </w:t>
      </w:r>
      <w:r>
        <w:rPr>
          <w:rFonts w:ascii="calibri" w:hAnsi="calibri" w:eastAsia="calibri" w:cs="calibri"/>
          <w:sz w:val="24"/>
          <w:szCs w:val="24"/>
          <w:i/>
          <w:iCs/>
        </w:rPr>
        <w:t xml:space="preserve">Tattoo inks and permanent make-up</w:t>
      </w:r>
      <w:r>
        <w:rPr>
          <w:rFonts w:ascii="calibri" w:hAnsi="calibri" w:eastAsia="calibri" w:cs="calibri"/>
          <w:sz w:val="24"/>
          <w:szCs w:val="24"/>
        </w:rPr>
        <w:t xml:space="preserve">, REACH restriction, dostęp: wrzesień 2026.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2026-10-17T01:37:53+02:00</dcterms:created>
  <dcterms:modified xsi:type="dcterms:W3CDTF">2026-10-17T01:37:53+02:00</dcterms:modified>
</cp:coreProperties>
</file>

<file path=docProps/custom.xml><?xml version="1.0" encoding="utf-8"?>
<Properties xmlns="http://schemas.openxmlformats.org/officeDocument/2006/custom-properties" xmlns:vt="http://schemas.openxmlformats.org/officeDocument/2006/docPropsVTypes"/>
</file>